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ascii="黑体" w:hAnsi="黑体" w:eastAsia="黑体" w:cs="黑体"/>
          <w:color w:val="auto"/>
          <w:sz w:val="28"/>
          <w:u w:val="none"/>
        </w:rPr>
        <w:t>设备购置费</w: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28"/>
          <w:szCs w:val="28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2022年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2月</w:t>
      </w:r>
    </w:p>
    <w:p>
      <w:pPr>
        <w:pStyle w:val="14"/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pStyle w:val="45"/>
        <w:spacing w:line="240" w:lineRule="auto"/>
        <w:rPr>
          <w:rFonts w:hint="eastAsia"/>
        </w:rPr>
      </w:pPr>
      <w:bookmarkStart w:id="10" w:name="_GoBack"/>
      <w:r>
        <w:rPr>
          <w:rFonts w:hint="eastAsia"/>
        </w:rPr>
        <w:t>一、项目基本情况</w:t>
      </w:r>
    </w:p>
    <w:bookmarkEnd w:id="10"/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根据《关于印发《江苏省省以下法院、检察院经费划转和保障暂行办法》的通知》（苏财行（2016）25号）附件7“全省检察院系统公用经费、办案(业务)经费、业务装备经费开支范围”，业务装备经费包括检察业务技术装备费、检察业务综合保障装备费、司法警察装备费、服装费和其他业务装备费。装卷高速扫描仪、执法记录仪、案卡迅录设备、一体化智能查询终端等均为检察业务工作中所必须的设备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项目负责人：谢健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联系人：秦琦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联系电话：025-58622895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1000000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：1000000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：90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保障检察工作正常开展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本院在职人员满意度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设备配置及时率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检察职能保障覆盖率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设备采购价格与市场价格比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来访群众满意度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检察司法行为规范度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设备保障部门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检察工作效能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52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BA2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184DBD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semiHidden="0" w:name="Table Web 2"/>
    <w:lsdException w:uiPriority="99" w:semiHidden="0" w:name="Table Web 3"/>
    <w:lsdException w:qFormat="1" w:uiPriority="99" w:semiHidden="0" w:name="Balloon Text"/>
    <w:lsdException w:qFormat="1" w:uiPriority="5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C7C2B-7E89-45C9-BEBF-6F8E05AE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4</Pages>
  <Words>167</Words>
  <Characters>952</Characters>
  <Lines>7</Lines>
  <Paragraphs>2</Paragraphs>
  <TotalTime>25</TotalTime>
  <ScaleCrop>false</ScaleCrop>
  <LinksUpToDate>false</LinksUpToDate>
  <CharactersWithSpaces>1117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</cp:lastModifiedBy>
  <cp:lastPrinted>2017-07-28T05:17:00Z</cp:lastPrinted>
  <dcterms:modified xsi:type="dcterms:W3CDTF">2022-02-28T03:08:51Z</dcterms:modified>
  <dc:title>上海市促进文化创意产业发展财政扶持资金浦东新区配套资金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